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0DF6" w14:textId="50AF98AA" w:rsidR="004F73B9" w:rsidRDefault="004D2131" w:rsidP="001B08E6">
      <w:pPr>
        <w:jc w:val="both"/>
        <w:rPr>
          <w:b/>
          <w:bCs/>
        </w:rPr>
      </w:pPr>
      <w:r>
        <w:rPr>
          <w:noProof/>
        </w:rPr>
        <w:drawing>
          <wp:anchor distT="0" distB="0" distL="114300" distR="114300" simplePos="0" relativeHeight="251660288" behindDoc="1" locked="0" layoutInCell="1" allowOverlap="1" wp14:anchorId="262F603F" wp14:editId="4137E759">
            <wp:simplePos x="0" y="0"/>
            <wp:positionH relativeFrom="margin">
              <wp:align>right</wp:align>
            </wp:positionH>
            <wp:positionV relativeFrom="paragraph">
              <wp:posOffset>-527182</wp:posOffset>
            </wp:positionV>
            <wp:extent cx="1812925" cy="433070"/>
            <wp:effectExtent l="0" t="0" r="0" b="5080"/>
            <wp:wrapNone/>
            <wp:docPr id="833549150" name="Image 1" descr="ACA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P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925" cy="433070"/>
                    </a:xfrm>
                    <a:prstGeom prst="rect">
                      <a:avLst/>
                    </a:prstGeom>
                    <a:noFill/>
                    <a:ln>
                      <a:noFill/>
                    </a:ln>
                  </pic:spPr>
                </pic:pic>
              </a:graphicData>
            </a:graphic>
          </wp:anchor>
        </w:drawing>
      </w:r>
      <w:r w:rsidRPr="003E0B0F">
        <w:rPr>
          <w:noProof/>
        </w:rPr>
        <w:drawing>
          <wp:anchor distT="0" distB="0" distL="0" distR="0" simplePos="0" relativeHeight="251659264" behindDoc="1" locked="0" layoutInCell="1" hidden="0" allowOverlap="1" wp14:anchorId="557E1CAF" wp14:editId="6B5DA9D1">
            <wp:simplePos x="0" y="0"/>
            <wp:positionH relativeFrom="margin">
              <wp:posOffset>-105088</wp:posOffset>
            </wp:positionH>
            <wp:positionV relativeFrom="paragraph">
              <wp:posOffset>-492807</wp:posOffset>
            </wp:positionV>
            <wp:extent cx="2080260" cy="495300"/>
            <wp:effectExtent l="0" t="0" r="0" b="0"/>
            <wp:wrapNone/>
            <wp:docPr id="21" name="Image 2" descr="Une image contenant Police, Graphique, logo,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21" name="Image 15" descr="Une image contenant Police, Graphique, logo, graphisme&#10;&#10;Description générée automatiquement"/>
                    <pic:cNvPicPr preferRelativeResize="0"/>
                  </pic:nvPicPr>
                  <pic:blipFill>
                    <a:blip r:embed="rId9"/>
                    <a:srcRect/>
                    <a:stretch>
                      <a:fillRect/>
                    </a:stretch>
                  </pic:blipFill>
                  <pic:spPr>
                    <a:xfrm>
                      <a:off x="0" y="0"/>
                      <a:ext cx="2080260" cy="495300"/>
                    </a:xfrm>
                    <a:prstGeom prst="rect">
                      <a:avLst/>
                    </a:prstGeom>
                    <a:ln/>
                  </pic:spPr>
                </pic:pic>
              </a:graphicData>
            </a:graphic>
          </wp:anchor>
        </w:drawing>
      </w:r>
    </w:p>
    <w:p w14:paraId="4FF059BA" w14:textId="77777777" w:rsidR="004F73B9" w:rsidRDefault="004F73B9" w:rsidP="004F73B9">
      <w:pPr>
        <w:jc w:val="both"/>
        <w:rPr>
          <w:b/>
          <w:bCs/>
        </w:rPr>
      </w:pPr>
    </w:p>
    <w:p w14:paraId="52AF19B9" w14:textId="77777777" w:rsidR="004F73B9" w:rsidRDefault="004F73B9" w:rsidP="004F73B9">
      <w:pPr>
        <w:jc w:val="both"/>
        <w:rPr>
          <w:b/>
          <w:bCs/>
        </w:rPr>
      </w:pPr>
    </w:p>
    <w:p w14:paraId="01D7FCDB" w14:textId="77777777" w:rsidR="004D2131" w:rsidRDefault="004D2131" w:rsidP="004D2131">
      <w:pPr>
        <w:widowControl w:val="0"/>
        <w:pBdr>
          <w:top w:val="nil"/>
          <w:left w:val="nil"/>
          <w:bottom w:val="nil"/>
          <w:right w:val="nil"/>
          <w:between w:val="nil"/>
        </w:pBdr>
        <w:ind w:right="66"/>
        <w:jc w:val="center"/>
        <w:rPr>
          <w:rFonts w:eastAsia="Times"/>
          <w:b/>
          <w:caps/>
          <w:color w:val="538135"/>
          <w:sz w:val="28"/>
          <w:szCs w:val="28"/>
          <w:highlight w:val="white"/>
        </w:rPr>
      </w:pPr>
    </w:p>
    <w:p w14:paraId="227AB04A" w14:textId="16003168" w:rsidR="004F73B9" w:rsidRDefault="003562DD" w:rsidP="004D2131">
      <w:pPr>
        <w:widowControl w:val="0"/>
        <w:pBdr>
          <w:top w:val="nil"/>
          <w:left w:val="nil"/>
          <w:bottom w:val="nil"/>
          <w:right w:val="nil"/>
          <w:between w:val="nil"/>
        </w:pBdr>
        <w:ind w:right="66"/>
        <w:jc w:val="center"/>
        <w:rPr>
          <w:rFonts w:eastAsia="Times"/>
          <w:b/>
          <w:caps/>
          <w:color w:val="538135"/>
          <w:sz w:val="28"/>
          <w:szCs w:val="28"/>
          <w:highlight w:val="white"/>
        </w:rPr>
      </w:pPr>
      <w:r w:rsidRPr="003562DD">
        <w:rPr>
          <w:rFonts w:eastAsia="Times"/>
          <w:b/>
          <w:caps/>
          <w:color w:val="538135"/>
          <w:sz w:val="28"/>
          <w:szCs w:val="28"/>
        </w:rPr>
        <w:t>Signature d’une convention de partenariat</w:t>
      </w:r>
      <w:r w:rsidR="004F73B9" w:rsidRPr="00F35160">
        <w:rPr>
          <w:rFonts w:eastAsia="Times"/>
          <w:b/>
          <w:caps/>
          <w:color w:val="538135"/>
          <w:sz w:val="28"/>
          <w:szCs w:val="28"/>
          <w:highlight w:val="white"/>
        </w:rPr>
        <w:t xml:space="preserve"> pour dynamiser l'écosystème Insurtech au Maroc</w:t>
      </w:r>
    </w:p>
    <w:p w14:paraId="57C9D7CE" w14:textId="77777777" w:rsidR="004F73B9" w:rsidRDefault="004F73B9" w:rsidP="004F73B9">
      <w:pPr>
        <w:widowControl w:val="0"/>
        <w:pBdr>
          <w:top w:val="nil"/>
          <w:left w:val="nil"/>
          <w:bottom w:val="nil"/>
          <w:right w:val="nil"/>
          <w:between w:val="nil"/>
        </w:pBdr>
        <w:spacing w:line="202" w:lineRule="auto"/>
        <w:ind w:right="66"/>
        <w:jc w:val="center"/>
        <w:rPr>
          <w:rFonts w:eastAsia="Times"/>
          <w:b/>
          <w:caps/>
          <w:color w:val="538135"/>
          <w:sz w:val="28"/>
          <w:szCs w:val="28"/>
          <w:highlight w:val="white"/>
        </w:rPr>
      </w:pPr>
    </w:p>
    <w:p w14:paraId="1171AA94" w14:textId="77777777" w:rsidR="008D4210" w:rsidRDefault="008D4210" w:rsidP="004F73B9">
      <w:pPr>
        <w:widowControl w:val="0"/>
        <w:pBdr>
          <w:top w:val="nil"/>
          <w:left w:val="nil"/>
          <w:bottom w:val="nil"/>
          <w:right w:val="nil"/>
          <w:between w:val="nil"/>
        </w:pBdr>
        <w:spacing w:line="202" w:lineRule="auto"/>
        <w:ind w:right="66"/>
        <w:jc w:val="center"/>
        <w:rPr>
          <w:rFonts w:eastAsia="Times"/>
          <w:b/>
          <w:caps/>
          <w:color w:val="538135"/>
          <w:sz w:val="28"/>
          <w:szCs w:val="28"/>
          <w:highlight w:val="white"/>
        </w:rPr>
      </w:pPr>
    </w:p>
    <w:p w14:paraId="3C70D790" w14:textId="77777777" w:rsidR="004F73B9" w:rsidRDefault="004F73B9" w:rsidP="004F73B9">
      <w:pPr>
        <w:jc w:val="both"/>
        <w:rPr>
          <w:b/>
          <w:bCs/>
        </w:rPr>
      </w:pPr>
    </w:p>
    <w:p w14:paraId="1582776F" w14:textId="77777777" w:rsidR="00CE001A" w:rsidRDefault="004F73B9" w:rsidP="004F73B9">
      <w:pPr>
        <w:jc w:val="both"/>
      </w:pPr>
      <w:r w:rsidRPr="00FA3E73">
        <w:rPr>
          <w:b/>
          <w:bCs/>
        </w:rPr>
        <w:t>Rabat, le 29 mai 2024</w:t>
      </w:r>
      <w:r>
        <w:t xml:space="preserve"> – </w:t>
      </w:r>
      <w:r w:rsidR="003C31BA">
        <w:t>CDG Invest</w:t>
      </w:r>
      <w:r w:rsidR="00BC76D3">
        <w:t>, la branche investissement du Groupe CDG</w:t>
      </w:r>
      <w:r w:rsidR="00740346">
        <w:t>,</w:t>
      </w:r>
      <w:r w:rsidR="00BC76D3">
        <w:t xml:space="preserve"> et</w:t>
      </w:r>
      <w:r w:rsidR="003562DD">
        <w:t xml:space="preserve"> l</w:t>
      </w:r>
      <w:r>
        <w:t xml:space="preserve">'Autorité de Contrôle des Assurances et de la Prévoyance Sociale (ACAPS) ont signé une convention de partenariat visant à dynamiser l'écosystème </w:t>
      </w:r>
      <w:proofErr w:type="spellStart"/>
      <w:r>
        <w:t>Insurtech</w:t>
      </w:r>
      <w:proofErr w:type="spellEnd"/>
      <w:r>
        <w:t xml:space="preserve"> au Maroc. Ce partenariat</w:t>
      </w:r>
      <w:r w:rsidR="002D5263">
        <w:t xml:space="preserve"> </w:t>
      </w:r>
      <w:r>
        <w:t xml:space="preserve">combine les forces des deux institutions pour soutenir l'innovation et la </w:t>
      </w:r>
      <w:proofErr w:type="spellStart"/>
      <w:r>
        <w:t>croissanc</w:t>
      </w:r>
      <w:proofErr w:type="spellEnd"/>
    </w:p>
    <w:p w14:paraId="500A9630" w14:textId="0AFFE1B4" w:rsidR="004F73B9" w:rsidRDefault="004F73B9" w:rsidP="004F73B9">
      <w:pPr>
        <w:jc w:val="both"/>
      </w:pPr>
      <w:proofErr w:type="gramStart"/>
      <w:r>
        <w:t>e</w:t>
      </w:r>
      <w:proofErr w:type="gramEnd"/>
      <w:r>
        <w:t xml:space="preserve"> des startups dans les secteurs de l'assurance et de la prévoyance sociale.</w:t>
      </w:r>
    </w:p>
    <w:p w14:paraId="1FBFAB00" w14:textId="77777777" w:rsidR="003562DD" w:rsidRDefault="003562DD" w:rsidP="004F73B9">
      <w:pPr>
        <w:jc w:val="both"/>
      </w:pPr>
    </w:p>
    <w:p w14:paraId="15CAAF25" w14:textId="20FFC4BE" w:rsidR="003562DD" w:rsidRDefault="003562DD" w:rsidP="003562DD">
      <w:pPr>
        <w:jc w:val="both"/>
      </w:pPr>
      <w:r>
        <w:t xml:space="preserve">La convention a été signée par </w:t>
      </w:r>
      <w:r w:rsidRPr="00F3555E">
        <w:t>Monsieur Khalid Safir</w:t>
      </w:r>
      <w:r>
        <w:t>,</w:t>
      </w:r>
      <w:r w:rsidRPr="00F3555E">
        <w:t xml:space="preserve"> </w:t>
      </w:r>
      <w:r w:rsidR="00AE7AFC" w:rsidRPr="00F3555E">
        <w:t xml:space="preserve">Directeur Général </w:t>
      </w:r>
      <w:r w:rsidR="008655F4">
        <w:t>de la</w:t>
      </w:r>
      <w:r w:rsidR="00AE7AFC" w:rsidRPr="00F3555E">
        <w:t xml:space="preserve"> CDG</w:t>
      </w:r>
      <w:r w:rsidR="00343D4B">
        <w:t xml:space="preserve"> et</w:t>
      </w:r>
      <w:r w:rsidR="00AE7AFC">
        <w:t xml:space="preserve"> </w:t>
      </w:r>
      <w:r w:rsidR="00343D4B">
        <w:t xml:space="preserve">Président du Conseil de CDG Invest </w:t>
      </w:r>
      <w:r w:rsidRPr="00F3555E">
        <w:t>et Monsieur</w:t>
      </w:r>
      <w:r w:rsidR="00EB5CB5">
        <w:t xml:space="preserve"> Abderrahim </w:t>
      </w:r>
      <w:proofErr w:type="spellStart"/>
      <w:r w:rsidR="00EB5CB5">
        <w:t>Chaffai</w:t>
      </w:r>
      <w:proofErr w:type="spellEnd"/>
      <w:r w:rsidRPr="00F3555E">
        <w:t xml:space="preserve">, </w:t>
      </w:r>
      <w:r w:rsidR="00AE2BE3">
        <w:t>Président</w:t>
      </w:r>
      <w:r w:rsidRPr="00F3555E">
        <w:t xml:space="preserve"> de</w:t>
      </w:r>
      <w:r>
        <w:t xml:space="preserve"> l’ACAPS en marge du salon GITEX Africa 2024 à Marrakech.</w:t>
      </w:r>
    </w:p>
    <w:p w14:paraId="20D96FE1" w14:textId="77777777" w:rsidR="003562DD" w:rsidRDefault="003562DD" w:rsidP="004F73B9">
      <w:pPr>
        <w:jc w:val="both"/>
      </w:pPr>
    </w:p>
    <w:p w14:paraId="34E5571A" w14:textId="0E3A8FDC" w:rsidR="00743B65" w:rsidRDefault="003562DD" w:rsidP="00A61542">
      <w:pPr>
        <w:jc w:val="both"/>
      </w:pPr>
      <w:r w:rsidRPr="00AD637F">
        <w:t>L'</w:t>
      </w:r>
      <w:r>
        <w:t>o</w:t>
      </w:r>
      <w:r w:rsidRPr="00AD637F">
        <w:t xml:space="preserve">bjectif </w:t>
      </w:r>
      <w:r>
        <w:t xml:space="preserve">de cette convention-cadre </w:t>
      </w:r>
      <w:r w:rsidRPr="00AD637F">
        <w:t xml:space="preserve">est de </w:t>
      </w:r>
      <w:r w:rsidRPr="009F38DC">
        <w:t>favoriser l'émergence</w:t>
      </w:r>
      <w:r w:rsidR="002D5263">
        <w:t xml:space="preserve"> d’un écosystème </w:t>
      </w:r>
      <w:proofErr w:type="spellStart"/>
      <w:r w:rsidR="002D5263">
        <w:t>Insurtech</w:t>
      </w:r>
      <w:proofErr w:type="spellEnd"/>
      <w:r w:rsidR="002D5263">
        <w:t xml:space="preserve"> et de promouvoir l’innovation, le développement des startups et le renforcement de la transformation numérique du Maroc</w:t>
      </w:r>
      <w:r w:rsidR="00A61542">
        <w:t>.</w:t>
      </w:r>
    </w:p>
    <w:p w14:paraId="35EA58B6" w14:textId="77777777" w:rsidR="008D4210" w:rsidRPr="00C23A8C" w:rsidRDefault="008D4210" w:rsidP="004F73B9">
      <w:pPr>
        <w:jc w:val="both"/>
        <w:rPr>
          <w:b/>
          <w:bCs/>
        </w:rPr>
      </w:pPr>
    </w:p>
    <w:p w14:paraId="00510079" w14:textId="37DE8C80" w:rsidR="004F73B9" w:rsidRDefault="00CB763D" w:rsidP="004F73B9">
      <w:pPr>
        <w:jc w:val="both"/>
      </w:pPr>
      <w:r>
        <w:t>Il convient de noter à cet égard que l</w:t>
      </w:r>
      <w:r w:rsidR="004F73B9">
        <w:t xml:space="preserve">'ACAPS, en tant </w:t>
      </w:r>
      <w:r w:rsidR="002A4E40">
        <w:t>que régulateur des secteurs des assurances et</w:t>
      </w:r>
      <w:r w:rsidR="004F73B9">
        <w:t xml:space="preserve"> de prévoyance sociale, place la promotion de l'utilisation des nouvelles technologies au cœur de ses orientations stratégiques. </w:t>
      </w:r>
      <w:r w:rsidR="002A4E40">
        <w:t>A ce titre</w:t>
      </w:r>
      <w:r w:rsidR="001C1946">
        <w:t>,</w:t>
      </w:r>
      <w:r w:rsidR="002A4E40">
        <w:t xml:space="preserve"> l’Au</w:t>
      </w:r>
      <w:r>
        <w:t>t</w:t>
      </w:r>
      <w:r w:rsidR="002A4E40">
        <w:t xml:space="preserve">orité a créé la </w:t>
      </w:r>
      <w:r w:rsidR="004F73B9">
        <w:t xml:space="preserve">Cellule Innovation &amp; </w:t>
      </w:r>
      <w:proofErr w:type="spellStart"/>
      <w:r w:rsidR="004F73B9">
        <w:t>Insurtech</w:t>
      </w:r>
      <w:proofErr w:type="spellEnd"/>
      <w:r w:rsidR="00810483">
        <w:t xml:space="preserve"> </w:t>
      </w:r>
      <w:r w:rsidR="002A4E40">
        <w:t>qui</w:t>
      </w:r>
      <w:r w:rsidR="005F7F0C">
        <w:t xml:space="preserve"> </w:t>
      </w:r>
      <w:r w:rsidR="004F73B9">
        <w:t xml:space="preserve">joue un rôle crucial dans la stimulation de l'innovation, en développant des synergies entre toutes les parties prenantes du secteur. Ce partenariat permettra à l’ACAPS d’accompagner des porteurs de projets </w:t>
      </w:r>
      <w:proofErr w:type="spellStart"/>
      <w:r w:rsidR="004F73B9">
        <w:t>Insurtech</w:t>
      </w:r>
      <w:proofErr w:type="spellEnd"/>
      <w:r w:rsidR="004F73B9">
        <w:t xml:space="preserve"> sur les aspects de conformité réglementaire.</w:t>
      </w:r>
    </w:p>
    <w:p w14:paraId="5357D09A" w14:textId="77777777" w:rsidR="002D5263" w:rsidRDefault="002D5263" w:rsidP="004F73B9">
      <w:pPr>
        <w:jc w:val="both"/>
      </w:pPr>
    </w:p>
    <w:p w14:paraId="1E8A3BFF" w14:textId="7ECFAA2F" w:rsidR="002D5263" w:rsidRPr="003A49E1" w:rsidRDefault="002D5263" w:rsidP="002D5263">
      <w:pPr>
        <w:jc w:val="both"/>
        <w:rPr>
          <w:rFonts w:asciiTheme="minorBidi" w:eastAsia="Times New Roman" w:hAnsiTheme="minorBidi"/>
          <w:color w:val="000000" w:themeColor="text1"/>
        </w:rPr>
      </w:pPr>
      <w:r>
        <w:t>Pour sa part, CDG Invest investisseur financier ayant comme objectif, notamment, de soutenir l’innovation et de promouvoir l’entrepreneuriat marocain</w:t>
      </w:r>
      <w:r w:rsidR="004E1C25">
        <w:t>,</w:t>
      </w:r>
      <w:r>
        <w:t xml:space="preserve"> </w:t>
      </w:r>
      <w:r w:rsidR="00D35D71">
        <w:t xml:space="preserve">particulièrement </w:t>
      </w:r>
      <w:r>
        <w:t>à travers</w:t>
      </w:r>
      <w:r w:rsidR="00551A0C">
        <w:t xml:space="preserve"> </w:t>
      </w:r>
      <w:r>
        <w:t>s</w:t>
      </w:r>
      <w:r w:rsidR="00551A0C">
        <w:t>on</w:t>
      </w:r>
      <w:r>
        <w:t xml:space="preserve"> programme</w:t>
      </w:r>
      <w:r w:rsidR="00551A0C">
        <w:t xml:space="preserve"> </w:t>
      </w:r>
      <w:r w:rsidRPr="00512C0B">
        <w:t>212Founders</w:t>
      </w:r>
      <w:r w:rsidR="004E1C25">
        <w:t>,</w:t>
      </w:r>
      <w:r w:rsidR="00D10FDA">
        <w:t xml:space="preserve"> œuvre</w:t>
      </w:r>
      <w:r w:rsidR="004E1C25">
        <w:t xml:space="preserve"> à </w:t>
      </w:r>
      <w:r w:rsidR="00D10FDA">
        <w:t xml:space="preserve">l’accompagnement et </w:t>
      </w:r>
      <w:r w:rsidR="004E1C25">
        <w:t>au</w:t>
      </w:r>
      <w:r w:rsidR="00D10FDA">
        <w:t xml:space="preserve"> financement des startups </w:t>
      </w:r>
      <w:r w:rsidR="00B3256B">
        <w:t>et des écosystèmes Fintech</w:t>
      </w:r>
      <w:r w:rsidR="00D10FDA">
        <w:t xml:space="preserve"> et </w:t>
      </w:r>
      <w:proofErr w:type="spellStart"/>
      <w:r w:rsidR="00D10FDA">
        <w:t>Insurtech</w:t>
      </w:r>
      <w:proofErr w:type="spellEnd"/>
      <w:r w:rsidR="00D10FDA">
        <w:t xml:space="preserve">. </w:t>
      </w:r>
    </w:p>
    <w:p w14:paraId="6A42471C" w14:textId="77777777" w:rsidR="008D4210" w:rsidRDefault="008D4210" w:rsidP="004F73B9">
      <w:pPr>
        <w:jc w:val="both"/>
      </w:pPr>
    </w:p>
    <w:p w14:paraId="37176A3C" w14:textId="56A866F3" w:rsidR="004F73B9" w:rsidRDefault="004F73B9" w:rsidP="008E6B99">
      <w:pPr>
        <w:jc w:val="both"/>
      </w:pPr>
      <w:r w:rsidRPr="008E6B99">
        <w:t>Ce partenariat permettra</w:t>
      </w:r>
      <w:r w:rsidR="008D4210" w:rsidRPr="008E6B99">
        <w:t> </w:t>
      </w:r>
      <w:r w:rsidR="00993D19">
        <w:t>l</w:t>
      </w:r>
      <w:r>
        <w:t xml:space="preserve">a coordination des initiatives </w:t>
      </w:r>
      <w:r w:rsidR="00CB737C">
        <w:t xml:space="preserve">visant </w:t>
      </w:r>
      <w:r w:rsidR="00740346">
        <w:t>le</w:t>
      </w:r>
      <w:r w:rsidR="0077649B">
        <w:t xml:space="preserve"> </w:t>
      </w:r>
      <w:r>
        <w:t xml:space="preserve">développement de l'écosystème </w:t>
      </w:r>
      <w:proofErr w:type="spellStart"/>
      <w:r>
        <w:t>Insurtech</w:t>
      </w:r>
      <w:proofErr w:type="spellEnd"/>
      <w:r w:rsidR="00ED0F34">
        <w:t xml:space="preserve">, </w:t>
      </w:r>
      <w:r w:rsidR="00851154">
        <w:t>l</w:t>
      </w:r>
      <w:r>
        <w:t xml:space="preserve">a coopération pour la création et le lancement de startups accompagnées par </w:t>
      </w:r>
      <w:r w:rsidR="0028251E">
        <w:t xml:space="preserve">               </w:t>
      </w:r>
      <w:r>
        <w:t>212Founders</w:t>
      </w:r>
      <w:r w:rsidR="00ED0F34">
        <w:t xml:space="preserve"> et </w:t>
      </w:r>
      <w:r w:rsidR="00ED0F34" w:rsidRPr="00740346">
        <w:t>l</w:t>
      </w:r>
      <w:r>
        <w:t xml:space="preserve">'échange d'informations et de bonnes pratiques dans le domaine des </w:t>
      </w:r>
      <w:proofErr w:type="spellStart"/>
      <w:r>
        <w:t>Insurtech</w:t>
      </w:r>
      <w:proofErr w:type="spellEnd"/>
      <w:r>
        <w:t>.</w:t>
      </w:r>
    </w:p>
    <w:p w14:paraId="4D129CD4" w14:textId="77777777" w:rsidR="00740346" w:rsidRDefault="00740346" w:rsidP="004F73B9">
      <w:pPr>
        <w:jc w:val="both"/>
      </w:pPr>
    </w:p>
    <w:p w14:paraId="185345B5" w14:textId="10EDD9A3" w:rsidR="004F73B9" w:rsidRDefault="004F73B9" w:rsidP="004F73B9">
      <w:pPr>
        <w:jc w:val="both"/>
      </w:pPr>
      <w:r>
        <w:t xml:space="preserve">Les parties </w:t>
      </w:r>
      <w:r w:rsidR="008F683A">
        <w:t>mettron</w:t>
      </w:r>
      <w:r w:rsidR="00CB763D">
        <w:t>t</w:t>
      </w:r>
      <w:r w:rsidR="008F683A">
        <w:t xml:space="preserve"> en place un dispositif complet</w:t>
      </w:r>
      <w:r w:rsidR="00A535AE">
        <w:t xml:space="preserve"> et </w:t>
      </w:r>
      <w:r w:rsidR="00CB763D">
        <w:t xml:space="preserve">déploieront </w:t>
      </w:r>
      <w:r w:rsidR="00A535AE">
        <w:t xml:space="preserve">les efforts </w:t>
      </w:r>
      <w:r w:rsidR="00C765E0">
        <w:t>nécessaires</w:t>
      </w:r>
      <w:r>
        <w:t xml:space="preserve"> pour favoriser la croissance des </w:t>
      </w:r>
      <w:proofErr w:type="spellStart"/>
      <w:r>
        <w:t>Insurtechs</w:t>
      </w:r>
      <w:proofErr w:type="spellEnd"/>
      <w:r>
        <w:t xml:space="preserve"> </w:t>
      </w:r>
      <w:r w:rsidR="008F683A">
        <w:t>pour</w:t>
      </w:r>
      <w:r>
        <w:t xml:space="preserve"> l'innovation, l'expérience client, et l'inclusion assurantielle, contribuant ainsi à la transformation digitale du secteur de l'assurance au Maroc.</w:t>
      </w:r>
    </w:p>
    <w:p w14:paraId="4DA5F649" w14:textId="77777777" w:rsidR="004F73B9" w:rsidRDefault="004F73B9" w:rsidP="004F73B9">
      <w:pPr>
        <w:jc w:val="both"/>
      </w:pPr>
    </w:p>
    <w:p w14:paraId="1AC72ED0" w14:textId="77777777" w:rsidR="007A7265" w:rsidRDefault="007A7265" w:rsidP="004F73B9">
      <w:pPr>
        <w:jc w:val="both"/>
        <w:rPr>
          <w:b/>
          <w:bCs/>
        </w:rPr>
      </w:pPr>
    </w:p>
    <w:p w14:paraId="72E63DEF" w14:textId="6AAA1A7D" w:rsidR="004F73B9" w:rsidRDefault="004F73B9" w:rsidP="004F73B9">
      <w:pPr>
        <w:jc w:val="both"/>
        <w:rPr>
          <w:b/>
          <w:bCs/>
        </w:rPr>
      </w:pPr>
      <w:r w:rsidRPr="00BA1711">
        <w:rPr>
          <w:b/>
          <w:bCs/>
        </w:rPr>
        <w:t xml:space="preserve">À PROPOS DE </w:t>
      </w:r>
      <w:r>
        <w:rPr>
          <w:b/>
          <w:bCs/>
        </w:rPr>
        <w:t>L’ACAPS</w:t>
      </w:r>
    </w:p>
    <w:p w14:paraId="58213163" w14:textId="77777777" w:rsidR="00A915E0" w:rsidRPr="00BA1711" w:rsidRDefault="00A915E0" w:rsidP="004F73B9">
      <w:pPr>
        <w:jc w:val="both"/>
        <w:rPr>
          <w:b/>
          <w:bCs/>
        </w:rPr>
      </w:pPr>
    </w:p>
    <w:p w14:paraId="51D30AD9" w14:textId="77777777" w:rsidR="002A4E40" w:rsidRDefault="002A4E40" w:rsidP="004F73B9">
      <w:pPr>
        <w:jc w:val="both"/>
      </w:pPr>
      <w:r w:rsidRPr="002A4E40">
        <w:t>Instituée en 2016 par la loi 64-12, l’Autorité de Contrôle des Assurances et de la Prévoyance Sociale (ACAPS) est chargée des missions de régulation et de supervision des secteurs de l’assurance et de la prévoyance sociale au Maroc. Dans le cadre des missions qui lui sont dévolues, l’Autorité veille à garantir la transparence, le bon fonctionnement ainsi que le développement des secteurs qui relèvent de son champ d’intervention en vue de protéger les droits des assurés, des affiliés et des ayant droits.</w:t>
      </w:r>
    </w:p>
    <w:p w14:paraId="05E2FDDA" w14:textId="62F7E35B" w:rsidR="004F73B9" w:rsidRPr="001459DC" w:rsidRDefault="004F73B9" w:rsidP="004F73B9">
      <w:pPr>
        <w:jc w:val="both"/>
        <w:rPr>
          <w:lang w:val="en-US"/>
        </w:rPr>
      </w:pPr>
      <w:r w:rsidRPr="001459DC">
        <w:rPr>
          <w:lang w:val="en-US"/>
        </w:rPr>
        <w:t>.</w:t>
      </w:r>
    </w:p>
    <w:p w14:paraId="08874A27" w14:textId="77777777" w:rsidR="00C765E0" w:rsidRPr="001459DC" w:rsidRDefault="00C765E0" w:rsidP="004F73B9">
      <w:pPr>
        <w:jc w:val="both"/>
        <w:rPr>
          <w:lang w:val="en-US"/>
        </w:rPr>
      </w:pPr>
    </w:p>
    <w:p w14:paraId="703149C4" w14:textId="45DEEFE0" w:rsidR="004F73B9" w:rsidRPr="008E6B99" w:rsidRDefault="004F73B9" w:rsidP="004F73B9">
      <w:pPr>
        <w:jc w:val="both"/>
        <w:rPr>
          <w:lang w:val="en-GB"/>
        </w:rPr>
      </w:pPr>
      <w:r w:rsidRPr="008E6B99">
        <w:rPr>
          <w:lang w:val="en-GB"/>
        </w:rPr>
        <w:t xml:space="preserve">Site web: </w:t>
      </w:r>
      <w:hyperlink r:id="rId10" w:history="1">
        <w:r w:rsidRPr="008E6B99">
          <w:rPr>
            <w:rStyle w:val="Lienhypertexte"/>
            <w:lang w:val="en-GB"/>
          </w:rPr>
          <w:t>www.acaps.ma</w:t>
        </w:r>
      </w:hyperlink>
    </w:p>
    <w:p w14:paraId="2DE7DF89" w14:textId="14A52C4F" w:rsidR="004F73B9" w:rsidRDefault="004F73B9" w:rsidP="004F73B9">
      <w:pPr>
        <w:jc w:val="both"/>
        <w:rPr>
          <w:lang w:val="en-US"/>
        </w:rPr>
      </w:pPr>
      <w:r w:rsidRPr="00BA1711">
        <w:rPr>
          <w:lang w:val="en-US"/>
        </w:rPr>
        <w:t xml:space="preserve">LinkedIn: </w:t>
      </w:r>
      <w:hyperlink r:id="rId11" w:history="1">
        <w:r w:rsidRPr="00C47220">
          <w:rPr>
            <w:rStyle w:val="Lienhypertexte"/>
            <w:lang w:val="en-US"/>
          </w:rPr>
          <w:t>www.linkedin.com/company/acaps-officiel</w:t>
        </w:r>
      </w:hyperlink>
    </w:p>
    <w:p w14:paraId="33776403" w14:textId="77777777" w:rsidR="004F73B9" w:rsidRPr="00BA1711" w:rsidRDefault="004F73B9" w:rsidP="004F73B9">
      <w:pPr>
        <w:jc w:val="both"/>
        <w:rPr>
          <w:lang w:val="en-US"/>
        </w:rPr>
      </w:pPr>
    </w:p>
    <w:p w14:paraId="06448762" w14:textId="77777777" w:rsidR="004F73B9" w:rsidRDefault="004F73B9" w:rsidP="004F73B9">
      <w:pPr>
        <w:jc w:val="both"/>
        <w:rPr>
          <w:b/>
          <w:bCs/>
        </w:rPr>
      </w:pPr>
      <w:r w:rsidRPr="00BA1711">
        <w:rPr>
          <w:b/>
          <w:bCs/>
        </w:rPr>
        <w:t>À PROPOS DE 212FOUNDERS</w:t>
      </w:r>
    </w:p>
    <w:p w14:paraId="47B80AAE" w14:textId="77777777" w:rsidR="00A915E0" w:rsidRPr="00BA1711" w:rsidRDefault="00A915E0" w:rsidP="004F73B9">
      <w:pPr>
        <w:jc w:val="both"/>
        <w:rPr>
          <w:b/>
          <w:bCs/>
        </w:rPr>
      </w:pPr>
    </w:p>
    <w:p w14:paraId="0E0A683C" w14:textId="77777777" w:rsidR="004F73B9" w:rsidRDefault="004F73B9" w:rsidP="004F73B9">
      <w:pPr>
        <w:jc w:val="both"/>
      </w:pPr>
      <w:r>
        <w:t>212Founders est un programme d’investissement et d’accompagnement des startups. Il a été lancé par CDG Invest en septembre 2019 dans l’objectif de participer à la création et à la croissance des startups marocaines à ambition internationale. Il s’inscrit dans le cadre du déploiement de la stratégie du Groupe CDG, dont l’un des objectifs majeurs est la promotion de l’entrepreneuriat et la montée en gamme de l’économie marocaine.</w:t>
      </w:r>
    </w:p>
    <w:p w14:paraId="5B845095" w14:textId="77777777" w:rsidR="00C765E0" w:rsidRPr="008E6B99" w:rsidRDefault="00C765E0" w:rsidP="004F73B9">
      <w:pPr>
        <w:jc w:val="both"/>
      </w:pPr>
    </w:p>
    <w:p w14:paraId="404D9106" w14:textId="2AA18511" w:rsidR="004F73B9" w:rsidRPr="008E6B99" w:rsidRDefault="004F73B9" w:rsidP="004F73B9">
      <w:pPr>
        <w:jc w:val="both"/>
        <w:rPr>
          <w:lang w:val="en-GB"/>
        </w:rPr>
      </w:pPr>
      <w:r w:rsidRPr="008E6B99">
        <w:rPr>
          <w:lang w:val="en-GB"/>
        </w:rPr>
        <w:t xml:space="preserve">Site web: </w:t>
      </w:r>
      <w:hyperlink r:id="rId12" w:history="1">
        <w:r w:rsidR="00C765E0" w:rsidRPr="008E6B99">
          <w:rPr>
            <w:rStyle w:val="Lienhypertexte"/>
            <w:lang w:val="en-GB"/>
          </w:rPr>
          <w:t>www.212founders.co</w:t>
        </w:r>
      </w:hyperlink>
      <w:r w:rsidR="00C765E0">
        <w:rPr>
          <w:lang w:val="en-GB"/>
        </w:rPr>
        <w:t xml:space="preserve"> </w:t>
      </w:r>
    </w:p>
    <w:p w14:paraId="7AC17B1A" w14:textId="25AABEAD" w:rsidR="004F73B9" w:rsidRPr="00BA1711" w:rsidRDefault="004F73B9" w:rsidP="004F73B9">
      <w:pPr>
        <w:jc w:val="both"/>
        <w:rPr>
          <w:lang w:val="en-US"/>
        </w:rPr>
      </w:pPr>
      <w:r w:rsidRPr="00BA1711">
        <w:rPr>
          <w:lang w:val="en-US"/>
        </w:rPr>
        <w:t xml:space="preserve">LinkedIn: </w:t>
      </w:r>
      <w:hyperlink r:id="rId13" w:history="1">
        <w:r w:rsidR="00C765E0" w:rsidRPr="00CB2AED">
          <w:rPr>
            <w:rStyle w:val="Lienhypertexte"/>
            <w:lang w:val="en-US"/>
          </w:rPr>
          <w:t>www.linkedin.com/company/212-founders</w:t>
        </w:r>
      </w:hyperlink>
      <w:r w:rsidR="00C765E0">
        <w:rPr>
          <w:lang w:val="en-US"/>
        </w:rPr>
        <w:t xml:space="preserve"> </w:t>
      </w:r>
    </w:p>
    <w:p w14:paraId="6B9C922C" w14:textId="77777777" w:rsidR="004F73B9" w:rsidRPr="008E6B99" w:rsidRDefault="004F73B9" w:rsidP="004F73B9">
      <w:pPr>
        <w:jc w:val="both"/>
        <w:rPr>
          <w:lang w:val="en-GB"/>
        </w:rPr>
      </w:pPr>
    </w:p>
    <w:p w14:paraId="70A09A64" w14:textId="77777777" w:rsidR="004F73B9" w:rsidRDefault="004F73B9" w:rsidP="004F73B9">
      <w:pPr>
        <w:jc w:val="both"/>
        <w:rPr>
          <w:b/>
          <w:bCs/>
        </w:rPr>
      </w:pPr>
      <w:r w:rsidRPr="00BA1711">
        <w:rPr>
          <w:b/>
          <w:bCs/>
        </w:rPr>
        <w:t>A PROPOS DE CDG INVEST</w:t>
      </w:r>
    </w:p>
    <w:p w14:paraId="643AC00E" w14:textId="77777777" w:rsidR="00A915E0" w:rsidRPr="00BA1711" w:rsidRDefault="00A915E0" w:rsidP="004F73B9">
      <w:pPr>
        <w:jc w:val="both"/>
        <w:rPr>
          <w:b/>
          <w:bCs/>
        </w:rPr>
      </w:pPr>
    </w:p>
    <w:p w14:paraId="5C4FEAA2" w14:textId="196CEA7E" w:rsidR="004F73B9" w:rsidRDefault="004F73B9" w:rsidP="004F73B9">
      <w:pPr>
        <w:jc w:val="both"/>
      </w:pPr>
      <w:r>
        <w:t xml:space="preserve">CDG Invest est un investisseur </w:t>
      </w:r>
      <w:r w:rsidR="00C4793B">
        <w:t>en</w:t>
      </w:r>
      <w:r>
        <w:t xml:space="preserve"> capital qui intervient autour des grands enjeux de l’économie marocaine : diversification productive, régionalisation, développement des PPP, développement de l’entrepreneuriat, et développement durable. CDG Invest constitue la branche investissement du Groupe Caisse de Dépôt et de Gestion.</w:t>
      </w:r>
    </w:p>
    <w:p w14:paraId="66A8AFA6" w14:textId="77777777" w:rsidR="00C765E0" w:rsidRPr="008E6B99" w:rsidRDefault="00C765E0" w:rsidP="004F73B9">
      <w:pPr>
        <w:jc w:val="both"/>
      </w:pPr>
    </w:p>
    <w:p w14:paraId="00E92FE2" w14:textId="4DA24E75" w:rsidR="004F73B9" w:rsidRPr="00BA1711" w:rsidRDefault="004F73B9" w:rsidP="004F73B9">
      <w:pPr>
        <w:jc w:val="both"/>
        <w:rPr>
          <w:lang w:val="en-US"/>
        </w:rPr>
      </w:pPr>
      <w:r w:rsidRPr="00BA1711">
        <w:rPr>
          <w:lang w:val="en-US"/>
        </w:rPr>
        <w:t xml:space="preserve">Site web: </w:t>
      </w:r>
      <w:hyperlink r:id="rId14" w:history="1">
        <w:r w:rsidR="00C765E0" w:rsidRPr="00CB2AED">
          <w:rPr>
            <w:rStyle w:val="Lienhypertexte"/>
            <w:lang w:val="en-US"/>
          </w:rPr>
          <w:t>www.cdginvest.ma</w:t>
        </w:r>
      </w:hyperlink>
      <w:r w:rsidR="00C765E0">
        <w:rPr>
          <w:lang w:val="en-US"/>
        </w:rPr>
        <w:t xml:space="preserve"> </w:t>
      </w:r>
    </w:p>
    <w:p w14:paraId="738CAA04" w14:textId="20EB9274" w:rsidR="000F5FE8" w:rsidRDefault="004F73B9" w:rsidP="004F73B9">
      <w:pPr>
        <w:jc w:val="both"/>
        <w:rPr>
          <w:lang w:val="en-US"/>
        </w:rPr>
      </w:pPr>
      <w:proofErr w:type="gramStart"/>
      <w:r w:rsidRPr="00BA1711">
        <w:rPr>
          <w:lang w:val="en-US"/>
        </w:rPr>
        <w:t>LinkedIn</w:t>
      </w:r>
      <w:r w:rsidR="000F5FE8">
        <w:rPr>
          <w:lang w:val="en-US"/>
        </w:rPr>
        <w:t xml:space="preserve"> :</w:t>
      </w:r>
      <w:proofErr w:type="gramEnd"/>
      <w:r w:rsidR="000F5FE8">
        <w:rPr>
          <w:lang w:val="en-US"/>
        </w:rPr>
        <w:t xml:space="preserve"> </w:t>
      </w:r>
      <w:hyperlink r:id="rId15" w:history="1">
        <w:r w:rsidR="000F5FE8" w:rsidRPr="00110C8F">
          <w:rPr>
            <w:rStyle w:val="Lienhypertexte"/>
            <w:lang w:val="en-US"/>
          </w:rPr>
          <w:t>https://ma.linkedin.com/company/cdg-invest</w:t>
        </w:r>
      </w:hyperlink>
    </w:p>
    <w:p w14:paraId="21086061" w14:textId="77777777" w:rsidR="000F5FE8" w:rsidRDefault="000F5FE8" w:rsidP="004F73B9">
      <w:pPr>
        <w:jc w:val="both"/>
        <w:rPr>
          <w:lang w:val="en-US"/>
        </w:rPr>
      </w:pPr>
    </w:p>
    <w:p w14:paraId="0CDE9B37" w14:textId="73FB3679" w:rsidR="004F73B9" w:rsidRDefault="00C765E0" w:rsidP="004F73B9">
      <w:pPr>
        <w:jc w:val="both"/>
        <w:rPr>
          <w:lang w:val="en-US"/>
        </w:rPr>
      </w:pPr>
      <w:r>
        <w:rPr>
          <w:lang w:val="en-US"/>
        </w:rPr>
        <w:t xml:space="preserve"> </w:t>
      </w:r>
    </w:p>
    <w:p w14:paraId="3D4B5520" w14:textId="77777777" w:rsidR="001459DC" w:rsidRPr="00BA1711" w:rsidRDefault="001459DC" w:rsidP="004F73B9">
      <w:pPr>
        <w:jc w:val="both"/>
        <w:rPr>
          <w:lang w:val="en-US"/>
        </w:rPr>
      </w:pPr>
    </w:p>
    <w:p w14:paraId="52F5439B" w14:textId="77777777" w:rsidR="004F73B9" w:rsidRPr="00BA1711" w:rsidRDefault="004F73B9" w:rsidP="004F73B9">
      <w:pPr>
        <w:jc w:val="both"/>
        <w:rPr>
          <w:lang w:val="en-US"/>
        </w:rPr>
      </w:pPr>
    </w:p>
    <w:p w14:paraId="29B88260" w14:textId="77777777" w:rsidR="00CB7291" w:rsidRPr="001459DC" w:rsidRDefault="00CB7291" w:rsidP="004F73B9">
      <w:pPr>
        <w:rPr>
          <w:lang w:val="en-US"/>
        </w:rPr>
      </w:pPr>
    </w:p>
    <w:sectPr w:rsidR="00CB7291" w:rsidRPr="001459DC" w:rsidSect="006B39FF">
      <w:headerReference w:type="default" r:id="rId16"/>
      <w:pgSz w:w="11900" w:h="16820"/>
      <w:pgMar w:top="2268" w:right="1372" w:bottom="1776" w:left="10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73EFF" w14:textId="77777777" w:rsidR="00656252" w:rsidRDefault="00656252">
      <w:pPr>
        <w:spacing w:line="240" w:lineRule="auto"/>
      </w:pPr>
      <w:r>
        <w:separator/>
      </w:r>
    </w:p>
  </w:endnote>
  <w:endnote w:type="continuationSeparator" w:id="0">
    <w:p w14:paraId="691559FD" w14:textId="77777777" w:rsidR="00656252" w:rsidRDefault="00656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CD980" w14:textId="77777777" w:rsidR="00656252" w:rsidRDefault="00656252">
      <w:pPr>
        <w:spacing w:line="240" w:lineRule="auto"/>
      </w:pPr>
      <w:r>
        <w:separator/>
      </w:r>
    </w:p>
  </w:footnote>
  <w:footnote w:type="continuationSeparator" w:id="0">
    <w:p w14:paraId="2870A8EF" w14:textId="77777777" w:rsidR="00656252" w:rsidRDefault="006562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902A" w14:textId="7A5709EC" w:rsidR="00220419" w:rsidRDefault="009020E0">
    <w:pPr>
      <w:pStyle w:val="En-tte"/>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7B13"/>
    <w:multiLevelType w:val="multilevel"/>
    <w:tmpl w:val="BF9418F6"/>
    <w:lvl w:ilvl="0">
      <w:start w:val="1"/>
      <w:numFmt w:val="bullet"/>
      <w:lvlText w:val="●"/>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1" w15:restartNumberingAfterBreak="0">
    <w:nsid w:val="336C7470"/>
    <w:multiLevelType w:val="hybridMultilevel"/>
    <w:tmpl w:val="590A6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FB30DC"/>
    <w:multiLevelType w:val="hybridMultilevel"/>
    <w:tmpl w:val="3B46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86547A"/>
    <w:multiLevelType w:val="hybridMultilevel"/>
    <w:tmpl w:val="295AA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4655CE"/>
    <w:multiLevelType w:val="multilevel"/>
    <w:tmpl w:val="04CE8B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24588760">
    <w:abstractNumId w:val="4"/>
  </w:num>
  <w:num w:numId="2" w16cid:durableId="1558123931">
    <w:abstractNumId w:val="3"/>
  </w:num>
  <w:num w:numId="3" w16cid:durableId="580025981">
    <w:abstractNumId w:val="0"/>
  </w:num>
  <w:num w:numId="4" w16cid:durableId="1849708843">
    <w:abstractNumId w:val="1"/>
  </w:num>
  <w:num w:numId="5" w16cid:durableId="281499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7D"/>
    <w:rsid w:val="00003055"/>
    <w:rsid w:val="00003233"/>
    <w:rsid w:val="00003349"/>
    <w:rsid w:val="000264B7"/>
    <w:rsid w:val="000316E6"/>
    <w:rsid w:val="00034D82"/>
    <w:rsid w:val="00041B3D"/>
    <w:rsid w:val="00046652"/>
    <w:rsid w:val="000466D8"/>
    <w:rsid w:val="00050884"/>
    <w:rsid w:val="00056498"/>
    <w:rsid w:val="00057D4D"/>
    <w:rsid w:val="00057F04"/>
    <w:rsid w:val="000610BA"/>
    <w:rsid w:val="00061AF6"/>
    <w:rsid w:val="00072A03"/>
    <w:rsid w:val="0009256D"/>
    <w:rsid w:val="00095934"/>
    <w:rsid w:val="00097348"/>
    <w:rsid w:val="000B3DA0"/>
    <w:rsid w:val="000B4D58"/>
    <w:rsid w:val="000B6185"/>
    <w:rsid w:val="000C2D6F"/>
    <w:rsid w:val="000C599F"/>
    <w:rsid w:val="000D2D8D"/>
    <w:rsid w:val="000F5FE8"/>
    <w:rsid w:val="001074D2"/>
    <w:rsid w:val="00111FAE"/>
    <w:rsid w:val="00123B17"/>
    <w:rsid w:val="001348B7"/>
    <w:rsid w:val="00135ACC"/>
    <w:rsid w:val="00140F65"/>
    <w:rsid w:val="0014187A"/>
    <w:rsid w:val="001459DC"/>
    <w:rsid w:val="001558F6"/>
    <w:rsid w:val="00160F72"/>
    <w:rsid w:val="00170275"/>
    <w:rsid w:val="0019162B"/>
    <w:rsid w:val="001927FF"/>
    <w:rsid w:val="00193276"/>
    <w:rsid w:val="00196ECF"/>
    <w:rsid w:val="001B0138"/>
    <w:rsid w:val="001B08E6"/>
    <w:rsid w:val="001B4D01"/>
    <w:rsid w:val="001B642A"/>
    <w:rsid w:val="001C1201"/>
    <w:rsid w:val="001C1946"/>
    <w:rsid w:val="001F27B4"/>
    <w:rsid w:val="002075F5"/>
    <w:rsid w:val="00216D63"/>
    <w:rsid w:val="00220419"/>
    <w:rsid w:val="0022265C"/>
    <w:rsid w:val="00261772"/>
    <w:rsid w:val="00276874"/>
    <w:rsid w:val="002823B3"/>
    <w:rsid w:val="0028251E"/>
    <w:rsid w:val="002861FB"/>
    <w:rsid w:val="00296D9E"/>
    <w:rsid w:val="002A18B0"/>
    <w:rsid w:val="002A4E40"/>
    <w:rsid w:val="002A591D"/>
    <w:rsid w:val="002A61B7"/>
    <w:rsid w:val="002A7F02"/>
    <w:rsid w:val="002B2FF9"/>
    <w:rsid w:val="002B3E57"/>
    <w:rsid w:val="002B642B"/>
    <w:rsid w:val="002D5263"/>
    <w:rsid w:val="002E2694"/>
    <w:rsid w:val="002F0AC1"/>
    <w:rsid w:val="002F0DAF"/>
    <w:rsid w:val="002F1A5A"/>
    <w:rsid w:val="002F234B"/>
    <w:rsid w:val="002F6964"/>
    <w:rsid w:val="00302A44"/>
    <w:rsid w:val="00305EA8"/>
    <w:rsid w:val="003232BF"/>
    <w:rsid w:val="00325723"/>
    <w:rsid w:val="003277DC"/>
    <w:rsid w:val="00343D4B"/>
    <w:rsid w:val="003562DD"/>
    <w:rsid w:val="00361D19"/>
    <w:rsid w:val="00373445"/>
    <w:rsid w:val="00374CFC"/>
    <w:rsid w:val="00381BF3"/>
    <w:rsid w:val="00386ABE"/>
    <w:rsid w:val="00391D5D"/>
    <w:rsid w:val="003A1406"/>
    <w:rsid w:val="003A6D17"/>
    <w:rsid w:val="003B34C2"/>
    <w:rsid w:val="003B4D66"/>
    <w:rsid w:val="003C0815"/>
    <w:rsid w:val="003C2ED8"/>
    <w:rsid w:val="003C31BA"/>
    <w:rsid w:val="003C3672"/>
    <w:rsid w:val="003C55B2"/>
    <w:rsid w:val="003C65EB"/>
    <w:rsid w:val="003D0618"/>
    <w:rsid w:val="003D3792"/>
    <w:rsid w:val="003D7AB3"/>
    <w:rsid w:val="003E01DC"/>
    <w:rsid w:val="003E0B0F"/>
    <w:rsid w:val="003E2969"/>
    <w:rsid w:val="003E4AAA"/>
    <w:rsid w:val="003F4CE2"/>
    <w:rsid w:val="003F68B0"/>
    <w:rsid w:val="004010C1"/>
    <w:rsid w:val="00407193"/>
    <w:rsid w:val="00423E96"/>
    <w:rsid w:val="0042401F"/>
    <w:rsid w:val="0042435D"/>
    <w:rsid w:val="00425C66"/>
    <w:rsid w:val="004260A7"/>
    <w:rsid w:val="004325C3"/>
    <w:rsid w:val="00432D02"/>
    <w:rsid w:val="00437129"/>
    <w:rsid w:val="00444423"/>
    <w:rsid w:val="00451DBF"/>
    <w:rsid w:val="00475E95"/>
    <w:rsid w:val="004768C3"/>
    <w:rsid w:val="00481F7D"/>
    <w:rsid w:val="00490E44"/>
    <w:rsid w:val="004C61D4"/>
    <w:rsid w:val="004D2131"/>
    <w:rsid w:val="004D5FCE"/>
    <w:rsid w:val="004E1C25"/>
    <w:rsid w:val="004E339B"/>
    <w:rsid w:val="004E36CA"/>
    <w:rsid w:val="004E402D"/>
    <w:rsid w:val="004E5532"/>
    <w:rsid w:val="004F73B9"/>
    <w:rsid w:val="004F7A7B"/>
    <w:rsid w:val="00512D41"/>
    <w:rsid w:val="00543A7C"/>
    <w:rsid w:val="005453FC"/>
    <w:rsid w:val="005512A4"/>
    <w:rsid w:val="00551A0C"/>
    <w:rsid w:val="0056606B"/>
    <w:rsid w:val="00576E6C"/>
    <w:rsid w:val="00584CAA"/>
    <w:rsid w:val="00585CBD"/>
    <w:rsid w:val="005864CC"/>
    <w:rsid w:val="005876E5"/>
    <w:rsid w:val="005964D2"/>
    <w:rsid w:val="005A5BE8"/>
    <w:rsid w:val="005C5742"/>
    <w:rsid w:val="005D400E"/>
    <w:rsid w:val="005E0155"/>
    <w:rsid w:val="005E3D3E"/>
    <w:rsid w:val="005E71E3"/>
    <w:rsid w:val="005F7F0C"/>
    <w:rsid w:val="006179D6"/>
    <w:rsid w:val="00621ADB"/>
    <w:rsid w:val="00623665"/>
    <w:rsid w:val="00640F16"/>
    <w:rsid w:val="00656252"/>
    <w:rsid w:val="006776EE"/>
    <w:rsid w:val="00685B3C"/>
    <w:rsid w:val="006917CF"/>
    <w:rsid w:val="006A29B4"/>
    <w:rsid w:val="006B39FF"/>
    <w:rsid w:val="00702359"/>
    <w:rsid w:val="007046C3"/>
    <w:rsid w:val="00711C20"/>
    <w:rsid w:val="0071529B"/>
    <w:rsid w:val="00727CAB"/>
    <w:rsid w:val="007355A7"/>
    <w:rsid w:val="00740346"/>
    <w:rsid w:val="00743B65"/>
    <w:rsid w:val="00745811"/>
    <w:rsid w:val="00764CD9"/>
    <w:rsid w:val="00765B4F"/>
    <w:rsid w:val="00766BD1"/>
    <w:rsid w:val="00772C80"/>
    <w:rsid w:val="00773E55"/>
    <w:rsid w:val="00774F63"/>
    <w:rsid w:val="0077649B"/>
    <w:rsid w:val="00776587"/>
    <w:rsid w:val="00791777"/>
    <w:rsid w:val="00793ADD"/>
    <w:rsid w:val="007A0B07"/>
    <w:rsid w:val="007A7265"/>
    <w:rsid w:val="007B0E7E"/>
    <w:rsid w:val="007B5C55"/>
    <w:rsid w:val="007C7AFF"/>
    <w:rsid w:val="007F088A"/>
    <w:rsid w:val="007F153A"/>
    <w:rsid w:val="00802D27"/>
    <w:rsid w:val="00810483"/>
    <w:rsid w:val="00815EC9"/>
    <w:rsid w:val="00816E9E"/>
    <w:rsid w:val="00827D44"/>
    <w:rsid w:val="00834208"/>
    <w:rsid w:val="00851154"/>
    <w:rsid w:val="008655F4"/>
    <w:rsid w:val="00870DBA"/>
    <w:rsid w:val="00871DAB"/>
    <w:rsid w:val="0087210F"/>
    <w:rsid w:val="00872415"/>
    <w:rsid w:val="00876BEE"/>
    <w:rsid w:val="00896BD5"/>
    <w:rsid w:val="008B7F8F"/>
    <w:rsid w:val="008D2C79"/>
    <w:rsid w:val="008D4210"/>
    <w:rsid w:val="008E04D1"/>
    <w:rsid w:val="008E6B99"/>
    <w:rsid w:val="008E7516"/>
    <w:rsid w:val="008E7C7B"/>
    <w:rsid w:val="008F2159"/>
    <w:rsid w:val="008F5E1F"/>
    <w:rsid w:val="008F683A"/>
    <w:rsid w:val="009020E0"/>
    <w:rsid w:val="009348CC"/>
    <w:rsid w:val="00940A08"/>
    <w:rsid w:val="00954A3E"/>
    <w:rsid w:val="00957310"/>
    <w:rsid w:val="009579A9"/>
    <w:rsid w:val="00957DA0"/>
    <w:rsid w:val="009734F3"/>
    <w:rsid w:val="009850E5"/>
    <w:rsid w:val="00993D19"/>
    <w:rsid w:val="009B3FD1"/>
    <w:rsid w:val="009B44A6"/>
    <w:rsid w:val="009C0A44"/>
    <w:rsid w:val="009C2DC6"/>
    <w:rsid w:val="009C45CD"/>
    <w:rsid w:val="009C67D3"/>
    <w:rsid w:val="009C7A6F"/>
    <w:rsid w:val="009D03B4"/>
    <w:rsid w:val="009D7A3D"/>
    <w:rsid w:val="009E53F1"/>
    <w:rsid w:val="009E5792"/>
    <w:rsid w:val="009F47B1"/>
    <w:rsid w:val="009F5CA0"/>
    <w:rsid w:val="009F5EF6"/>
    <w:rsid w:val="00A17E24"/>
    <w:rsid w:val="00A235F4"/>
    <w:rsid w:val="00A25F9E"/>
    <w:rsid w:val="00A350AA"/>
    <w:rsid w:val="00A535AE"/>
    <w:rsid w:val="00A54A2F"/>
    <w:rsid w:val="00A61542"/>
    <w:rsid w:val="00A66835"/>
    <w:rsid w:val="00A72745"/>
    <w:rsid w:val="00A73468"/>
    <w:rsid w:val="00A83EAC"/>
    <w:rsid w:val="00A915E0"/>
    <w:rsid w:val="00A94E18"/>
    <w:rsid w:val="00AB420B"/>
    <w:rsid w:val="00AB7E88"/>
    <w:rsid w:val="00AC37C3"/>
    <w:rsid w:val="00AC3A51"/>
    <w:rsid w:val="00AC7916"/>
    <w:rsid w:val="00AE2130"/>
    <w:rsid w:val="00AE2BE3"/>
    <w:rsid w:val="00AE7AFC"/>
    <w:rsid w:val="00AF4D5E"/>
    <w:rsid w:val="00B05BE6"/>
    <w:rsid w:val="00B1722C"/>
    <w:rsid w:val="00B3256B"/>
    <w:rsid w:val="00B35132"/>
    <w:rsid w:val="00B529C6"/>
    <w:rsid w:val="00B54936"/>
    <w:rsid w:val="00B63B39"/>
    <w:rsid w:val="00B809F9"/>
    <w:rsid w:val="00B82C80"/>
    <w:rsid w:val="00B83F22"/>
    <w:rsid w:val="00BA2D95"/>
    <w:rsid w:val="00BA4E85"/>
    <w:rsid w:val="00BB0E0B"/>
    <w:rsid w:val="00BB1B27"/>
    <w:rsid w:val="00BC76D3"/>
    <w:rsid w:val="00BF6069"/>
    <w:rsid w:val="00C139E2"/>
    <w:rsid w:val="00C15E6E"/>
    <w:rsid w:val="00C2318C"/>
    <w:rsid w:val="00C300F3"/>
    <w:rsid w:val="00C4793B"/>
    <w:rsid w:val="00C52824"/>
    <w:rsid w:val="00C56493"/>
    <w:rsid w:val="00C70883"/>
    <w:rsid w:val="00C758B2"/>
    <w:rsid w:val="00C765E0"/>
    <w:rsid w:val="00C96FEF"/>
    <w:rsid w:val="00CA1C1D"/>
    <w:rsid w:val="00CA46B9"/>
    <w:rsid w:val="00CA5B9D"/>
    <w:rsid w:val="00CA785F"/>
    <w:rsid w:val="00CB7291"/>
    <w:rsid w:val="00CB737C"/>
    <w:rsid w:val="00CB763D"/>
    <w:rsid w:val="00CC137D"/>
    <w:rsid w:val="00CC56DC"/>
    <w:rsid w:val="00CC673E"/>
    <w:rsid w:val="00CE001A"/>
    <w:rsid w:val="00CF0A8D"/>
    <w:rsid w:val="00CF7292"/>
    <w:rsid w:val="00D00563"/>
    <w:rsid w:val="00D0218A"/>
    <w:rsid w:val="00D04182"/>
    <w:rsid w:val="00D10FDA"/>
    <w:rsid w:val="00D15B91"/>
    <w:rsid w:val="00D23EC1"/>
    <w:rsid w:val="00D26D95"/>
    <w:rsid w:val="00D33A49"/>
    <w:rsid w:val="00D35D71"/>
    <w:rsid w:val="00D37F01"/>
    <w:rsid w:val="00D452DC"/>
    <w:rsid w:val="00D510AC"/>
    <w:rsid w:val="00D52CEA"/>
    <w:rsid w:val="00D54FC6"/>
    <w:rsid w:val="00D646DD"/>
    <w:rsid w:val="00D77AD5"/>
    <w:rsid w:val="00DC5F86"/>
    <w:rsid w:val="00DF2FFF"/>
    <w:rsid w:val="00E0778F"/>
    <w:rsid w:val="00E100FC"/>
    <w:rsid w:val="00E215D7"/>
    <w:rsid w:val="00E25648"/>
    <w:rsid w:val="00E40126"/>
    <w:rsid w:val="00E40625"/>
    <w:rsid w:val="00E4115C"/>
    <w:rsid w:val="00E55D33"/>
    <w:rsid w:val="00E610EA"/>
    <w:rsid w:val="00E848F4"/>
    <w:rsid w:val="00E87147"/>
    <w:rsid w:val="00EB074C"/>
    <w:rsid w:val="00EB4923"/>
    <w:rsid w:val="00EB5CB5"/>
    <w:rsid w:val="00EC690E"/>
    <w:rsid w:val="00ED0F34"/>
    <w:rsid w:val="00ED3678"/>
    <w:rsid w:val="00EE60B8"/>
    <w:rsid w:val="00EF44A8"/>
    <w:rsid w:val="00EF7362"/>
    <w:rsid w:val="00F06177"/>
    <w:rsid w:val="00F16539"/>
    <w:rsid w:val="00F16E69"/>
    <w:rsid w:val="00F176C4"/>
    <w:rsid w:val="00F27F6F"/>
    <w:rsid w:val="00F60FBD"/>
    <w:rsid w:val="00F67074"/>
    <w:rsid w:val="00F72B39"/>
    <w:rsid w:val="00F76E10"/>
    <w:rsid w:val="00F81BF5"/>
    <w:rsid w:val="00F85EB7"/>
    <w:rsid w:val="00F863E8"/>
    <w:rsid w:val="00F86F89"/>
    <w:rsid w:val="00F9018B"/>
    <w:rsid w:val="00F95A77"/>
    <w:rsid w:val="00FA0B7F"/>
    <w:rsid w:val="00FB0C5A"/>
    <w:rsid w:val="00FB1E37"/>
    <w:rsid w:val="00FB3A0C"/>
    <w:rsid w:val="00FC06EA"/>
    <w:rsid w:val="00FC597A"/>
    <w:rsid w:val="00FF067D"/>
    <w:rsid w:val="10BC60FC"/>
    <w:rsid w:val="492276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02599"/>
  <w15:docId w15:val="{C34283F2-5F0F-4D65-A464-1D8D87335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220419"/>
    <w:pPr>
      <w:tabs>
        <w:tab w:val="center" w:pos="4536"/>
        <w:tab w:val="right" w:pos="9072"/>
      </w:tabs>
      <w:spacing w:line="240" w:lineRule="auto"/>
    </w:pPr>
  </w:style>
  <w:style w:type="character" w:customStyle="1" w:styleId="En-tteCar">
    <w:name w:val="En-tête Car"/>
    <w:basedOn w:val="Policepardfaut"/>
    <w:link w:val="En-tte"/>
    <w:uiPriority w:val="99"/>
    <w:rsid w:val="00220419"/>
  </w:style>
  <w:style w:type="paragraph" w:styleId="Pieddepage">
    <w:name w:val="footer"/>
    <w:basedOn w:val="Normal"/>
    <w:link w:val="PieddepageCar"/>
    <w:uiPriority w:val="99"/>
    <w:unhideWhenUsed/>
    <w:rsid w:val="00220419"/>
    <w:pPr>
      <w:tabs>
        <w:tab w:val="center" w:pos="4536"/>
        <w:tab w:val="right" w:pos="9072"/>
      </w:tabs>
      <w:spacing w:line="240" w:lineRule="auto"/>
    </w:pPr>
  </w:style>
  <w:style w:type="character" w:customStyle="1" w:styleId="PieddepageCar">
    <w:name w:val="Pied de page Car"/>
    <w:basedOn w:val="Policepardfaut"/>
    <w:link w:val="Pieddepage"/>
    <w:uiPriority w:val="99"/>
    <w:rsid w:val="00220419"/>
  </w:style>
  <w:style w:type="character" w:styleId="Lienhypertexte">
    <w:name w:val="Hyperlink"/>
    <w:basedOn w:val="Policepardfaut"/>
    <w:uiPriority w:val="99"/>
    <w:unhideWhenUsed/>
    <w:rsid w:val="009348CC"/>
    <w:rPr>
      <w:color w:val="0000FF" w:themeColor="hyperlink"/>
      <w:u w:val="single"/>
    </w:rPr>
  </w:style>
  <w:style w:type="character" w:styleId="Mentionnonrsolue">
    <w:name w:val="Unresolved Mention"/>
    <w:basedOn w:val="Policepardfaut"/>
    <w:uiPriority w:val="99"/>
    <w:semiHidden/>
    <w:unhideWhenUsed/>
    <w:rsid w:val="009348CC"/>
    <w:rPr>
      <w:color w:val="605E5C"/>
      <w:shd w:val="clear" w:color="auto" w:fill="E1DFDD"/>
    </w:rPr>
  </w:style>
  <w:style w:type="character" w:styleId="Lienhypertextesuivivisit">
    <w:name w:val="FollowedHyperlink"/>
    <w:basedOn w:val="Policepardfaut"/>
    <w:uiPriority w:val="99"/>
    <w:semiHidden/>
    <w:unhideWhenUsed/>
    <w:rsid w:val="009348CC"/>
    <w:rPr>
      <w:color w:val="800080" w:themeColor="followedHyperlink"/>
      <w:u w:val="single"/>
    </w:rPr>
  </w:style>
  <w:style w:type="paragraph" w:styleId="Rvision">
    <w:name w:val="Revision"/>
    <w:hidden/>
    <w:uiPriority w:val="99"/>
    <w:semiHidden/>
    <w:rsid w:val="00CF0A8D"/>
    <w:pPr>
      <w:spacing w:line="240" w:lineRule="auto"/>
    </w:pPr>
  </w:style>
  <w:style w:type="paragraph" w:styleId="Paragraphedeliste">
    <w:name w:val="List Paragraph"/>
    <w:basedOn w:val="Normal"/>
    <w:uiPriority w:val="34"/>
    <w:qFormat/>
    <w:rsid w:val="00CF0A8D"/>
    <w:pPr>
      <w:ind w:left="720"/>
      <w:contextualSpacing/>
    </w:pPr>
  </w:style>
  <w:style w:type="character" w:styleId="Marquedecommentaire">
    <w:name w:val="annotation reference"/>
    <w:basedOn w:val="Policepardfaut"/>
    <w:uiPriority w:val="99"/>
    <w:semiHidden/>
    <w:unhideWhenUsed/>
    <w:rsid w:val="00CF0A8D"/>
    <w:rPr>
      <w:sz w:val="16"/>
      <w:szCs w:val="16"/>
    </w:rPr>
  </w:style>
  <w:style w:type="paragraph" w:styleId="Commentaire">
    <w:name w:val="annotation text"/>
    <w:basedOn w:val="Normal"/>
    <w:link w:val="CommentaireCar"/>
    <w:uiPriority w:val="99"/>
    <w:unhideWhenUsed/>
    <w:rsid w:val="00CF0A8D"/>
    <w:pPr>
      <w:spacing w:line="240" w:lineRule="auto"/>
    </w:pPr>
    <w:rPr>
      <w:sz w:val="20"/>
      <w:szCs w:val="20"/>
    </w:rPr>
  </w:style>
  <w:style w:type="character" w:customStyle="1" w:styleId="CommentaireCar">
    <w:name w:val="Commentaire Car"/>
    <w:basedOn w:val="Policepardfaut"/>
    <w:link w:val="Commentaire"/>
    <w:uiPriority w:val="99"/>
    <w:rsid w:val="00CF0A8D"/>
    <w:rPr>
      <w:sz w:val="20"/>
      <w:szCs w:val="20"/>
    </w:rPr>
  </w:style>
  <w:style w:type="paragraph" w:styleId="Objetducommentaire">
    <w:name w:val="annotation subject"/>
    <w:basedOn w:val="Commentaire"/>
    <w:next w:val="Commentaire"/>
    <w:link w:val="ObjetducommentaireCar"/>
    <w:uiPriority w:val="99"/>
    <w:semiHidden/>
    <w:unhideWhenUsed/>
    <w:rsid w:val="00CF0A8D"/>
    <w:rPr>
      <w:b/>
      <w:bCs/>
    </w:rPr>
  </w:style>
  <w:style w:type="character" w:customStyle="1" w:styleId="ObjetducommentaireCar">
    <w:name w:val="Objet du commentaire Car"/>
    <w:basedOn w:val="CommentaireCar"/>
    <w:link w:val="Objetducommentaire"/>
    <w:uiPriority w:val="99"/>
    <w:semiHidden/>
    <w:rsid w:val="00CF0A8D"/>
    <w:rPr>
      <w:b/>
      <w:bCs/>
      <w:sz w:val="20"/>
      <w:szCs w:val="20"/>
    </w:rPr>
  </w:style>
  <w:style w:type="character" w:customStyle="1" w:styleId="link-without-visited-state">
    <w:name w:val="link-without-visited-state"/>
    <w:basedOn w:val="Policepardfaut"/>
    <w:rsid w:val="00325723"/>
  </w:style>
  <w:style w:type="paragraph" w:styleId="NormalWeb">
    <w:name w:val="Normal (Web)"/>
    <w:basedOn w:val="Normal"/>
    <w:uiPriority w:val="99"/>
    <w:unhideWhenUsed/>
    <w:rsid w:val="00386A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2198">
      <w:bodyDiv w:val="1"/>
      <w:marLeft w:val="0"/>
      <w:marRight w:val="0"/>
      <w:marTop w:val="0"/>
      <w:marBottom w:val="0"/>
      <w:divBdr>
        <w:top w:val="none" w:sz="0" w:space="0" w:color="auto"/>
        <w:left w:val="none" w:sz="0" w:space="0" w:color="auto"/>
        <w:bottom w:val="none" w:sz="0" w:space="0" w:color="auto"/>
        <w:right w:val="none" w:sz="0" w:space="0" w:color="auto"/>
      </w:divBdr>
    </w:div>
    <w:div w:id="558591852">
      <w:bodyDiv w:val="1"/>
      <w:marLeft w:val="0"/>
      <w:marRight w:val="0"/>
      <w:marTop w:val="0"/>
      <w:marBottom w:val="0"/>
      <w:divBdr>
        <w:top w:val="none" w:sz="0" w:space="0" w:color="auto"/>
        <w:left w:val="none" w:sz="0" w:space="0" w:color="auto"/>
        <w:bottom w:val="none" w:sz="0" w:space="0" w:color="auto"/>
        <w:right w:val="none" w:sz="0" w:space="0" w:color="auto"/>
      </w:divBdr>
    </w:div>
    <w:div w:id="762267722">
      <w:bodyDiv w:val="1"/>
      <w:marLeft w:val="0"/>
      <w:marRight w:val="0"/>
      <w:marTop w:val="0"/>
      <w:marBottom w:val="0"/>
      <w:divBdr>
        <w:top w:val="none" w:sz="0" w:space="0" w:color="auto"/>
        <w:left w:val="none" w:sz="0" w:space="0" w:color="auto"/>
        <w:bottom w:val="none" w:sz="0" w:space="0" w:color="auto"/>
        <w:right w:val="none" w:sz="0" w:space="0" w:color="auto"/>
      </w:divBdr>
    </w:div>
    <w:div w:id="800608518">
      <w:bodyDiv w:val="1"/>
      <w:marLeft w:val="0"/>
      <w:marRight w:val="0"/>
      <w:marTop w:val="0"/>
      <w:marBottom w:val="0"/>
      <w:divBdr>
        <w:top w:val="none" w:sz="0" w:space="0" w:color="auto"/>
        <w:left w:val="none" w:sz="0" w:space="0" w:color="auto"/>
        <w:bottom w:val="none" w:sz="0" w:space="0" w:color="auto"/>
        <w:right w:val="none" w:sz="0" w:space="0" w:color="auto"/>
      </w:divBdr>
    </w:div>
    <w:div w:id="839731113">
      <w:bodyDiv w:val="1"/>
      <w:marLeft w:val="0"/>
      <w:marRight w:val="0"/>
      <w:marTop w:val="0"/>
      <w:marBottom w:val="0"/>
      <w:divBdr>
        <w:top w:val="none" w:sz="0" w:space="0" w:color="auto"/>
        <w:left w:val="none" w:sz="0" w:space="0" w:color="auto"/>
        <w:bottom w:val="none" w:sz="0" w:space="0" w:color="auto"/>
        <w:right w:val="none" w:sz="0" w:space="0" w:color="auto"/>
      </w:divBdr>
    </w:div>
    <w:div w:id="1474181735">
      <w:bodyDiv w:val="1"/>
      <w:marLeft w:val="0"/>
      <w:marRight w:val="0"/>
      <w:marTop w:val="0"/>
      <w:marBottom w:val="0"/>
      <w:divBdr>
        <w:top w:val="none" w:sz="0" w:space="0" w:color="auto"/>
        <w:left w:val="none" w:sz="0" w:space="0" w:color="auto"/>
        <w:bottom w:val="none" w:sz="0" w:space="0" w:color="auto"/>
        <w:right w:val="none" w:sz="0" w:space="0" w:color="auto"/>
      </w:divBdr>
    </w:div>
    <w:div w:id="1876235477">
      <w:bodyDiv w:val="1"/>
      <w:marLeft w:val="0"/>
      <w:marRight w:val="0"/>
      <w:marTop w:val="0"/>
      <w:marBottom w:val="0"/>
      <w:divBdr>
        <w:top w:val="none" w:sz="0" w:space="0" w:color="auto"/>
        <w:left w:val="none" w:sz="0" w:space="0" w:color="auto"/>
        <w:bottom w:val="none" w:sz="0" w:space="0" w:color="auto"/>
        <w:right w:val="none" w:sz="0" w:space="0" w:color="auto"/>
      </w:divBdr>
    </w:div>
    <w:div w:id="206382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kedin.com/company/212-found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12founders.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acaps-officiel" TargetMode="External"/><Relationship Id="rId5" Type="http://schemas.openxmlformats.org/officeDocument/2006/relationships/webSettings" Target="webSettings.xml"/><Relationship Id="rId15" Type="http://schemas.openxmlformats.org/officeDocument/2006/relationships/hyperlink" Target="https://ma.linkedin.com/company/cdg-invest" TargetMode="External"/><Relationship Id="rId10" Type="http://schemas.openxmlformats.org/officeDocument/2006/relationships/hyperlink" Target="http://www.acaps.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ginvest.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xR3URzZu35OQy7yzhfrGo6W4/A==">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659</Words>
  <Characters>3626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Amine BOUKOUS</dc:creator>
  <cp:lastModifiedBy>Sara Alaoui M'rani</cp:lastModifiedBy>
  <cp:revision>3</cp:revision>
  <dcterms:created xsi:type="dcterms:W3CDTF">2024-05-31T15:51:00Z</dcterms:created>
  <dcterms:modified xsi:type="dcterms:W3CDTF">2024-05-31T15:51:00Z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ace10da72277463f151772f0ff29b64dbf807bca3fe8ec086d7b0905fd5d01ab</vt:lpwstr>
  </property>
</Properties>
</file>